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6ADD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0" w:name="do"/>
      <w:r w:rsidRPr="00367F14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119FC79E" wp14:editId="39B9B2C5">
            <wp:extent cx="95250" cy="95250"/>
            <wp:effectExtent l="0" t="0" r="0" b="0"/>
            <wp:docPr id="36" name="do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67F14">
        <w:rPr>
          <w:rFonts w:ascii="Verdana" w:eastAsia="Times New Roman" w:hAnsi="Verdana" w:cs="Times New Roman"/>
          <w:b/>
          <w:bCs/>
          <w:kern w:val="0"/>
          <w:sz w:val="26"/>
          <w:szCs w:val="26"/>
          <w:lang w:eastAsia="ro-RO"/>
          <w14:ligatures w14:val="none"/>
        </w:rPr>
        <w:t xml:space="preserve">REGULAMENT din 15 iulie 2004 de punere în aplicare a Legii nr. </w:t>
      </w:r>
      <w:hyperlink r:id="rId6" w:history="1">
        <w:r w:rsidRPr="00367F14">
          <w:rPr>
            <w:rFonts w:ascii="Verdana" w:eastAsia="Times New Roman" w:hAnsi="Verdana" w:cs="Times New Roman"/>
            <w:b/>
            <w:bCs/>
            <w:color w:val="333399"/>
            <w:kern w:val="0"/>
            <w:sz w:val="26"/>
            <w:szCs w:val="26"/>
            <w:u w:val="single"/>
            <w:lang w:eastAsia="ro-RO"/>
            <w14:ligatures w14:val="none"/>
          </w:rPr>
          <w:t>251/2004</w:t>
        </w:r>
      </w:hyperlink>
      <w:r w:rsidRPr="00367F14">
        <w:rPr>
          <w:rFonts w:ascii="Verdana" w:eastAsia="Times New Roman" w:hAnsi="Verdana" w:cs="Times New Roman"/>
          <w:b/>
          <w:bCs/>
          <w:kern w:val="0"/>
          <w:sz w:val="26"/>
          <w:szCs w:val="26"/>
          <w:lang w:eastAsia="ro-RO"/>
          <w14:ligatures w14:val="none"/>
        </w:rPr>
        <w:t xml:space="preserve"> privind unele măsuri referitoare la bunurile primite cu titlu gratuit cu prilejul unor </w:t>
      </w:r>
      <w:proofErr w:type="spellStart"/>
      <w:r w:rsidRPr="00367F14">
        <w:rPr>
          <w:rFonts w:ascii="Verdana" w:eastAsia="Times New Roman" w:hAnsi="Verdana" w:cs="Times New Roman"/>
          <w:b/>
          <w:bCs/>
          <w:kern w:val="0"/>
          <w:sz w:val="26"/>
          <w:szCs w:val="26"/>
          <w:lang w:eastAsia="ro-RO"/>
          <w14:ligatures w14:val="none"/>
        </w:rPr>
        <w:t>acţiuni</w:t>
      </w:r>
      <w:proofErr w:type="spellEnd"/>
      <w:r w:rsidRPr="00367F14">
        <w:rPr>
          <w:rFonts w:ascii="Verdana" w:eastAsia="Times New Roman" w:hAnsi="Verdana" w:cs="Times New Roman"/>
          <w:b/>
          <w:bCs/>
          <w:kern w:val="0"/>
          <w:sz w:val="26"/>
          <w:szCs w:val="26"/>
          <w:lang w:eastAsia="ro-RO"/>
          <w14:ligatures w14:val="none"/>
        </w:rPr>
        <w:t xml:space="preserve"> de protocol în exercitarea mandatului sau a </w:t>
      </w:r>
      <w:proofErr w:type="spellStart"/>
      <w:r w:rsidRPr="00367F14">
        <w:rPr>
          <w:rFonts w:ascii="Verdana" w:eastAsia="Times New Roman" w:hAnsi="Verdana" w:cs="Times New Roman"/>
          <w:b/>
          <w:bCs/>
          <w:kern w:val="0"/>
          <w:sz w:val="26"/>
          <w:szCs w:val="26"/>
          <w:lang w:eastAsia="ro-RO"/>
          <w14:ligatures w14:val="none"/>
        </w:rPr>
        <w:t>funcţiei</w:t>
      </w:r>
      <w:proofErr w:type="spellEnd"/>
    </w:p>
    <w:p w14:paraId="30B1897D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" w:name="do|ar1"/>
      <w:r w:rsidRPr="00367F14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240BF627" wp14:editId="79EEEDB0">
            <wp:extent cx="95250" cy="95250"/>
            <wp:effectExtent l="0" t="0" r="0" b="0"/>
            <wp:docPr id="37" name="do|ar1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367F14">
        <w:rPr>
          <w:rFonts w:ascii="Verdana" w:eastAsia="Times New Roman" w:hAnsi="Verdana" w:cs="Times New Roman"/>
          <w:b/>
          <w:bCs/>
          <w:color w:val="0000AF"/>
          <w:kern w:val="0"/>
          <w:lang w:eastAsia="ro-RO"/>
          <w14:ligatures w14:val="none"/>
        </w:rPr>
        <w:t>Art. 1</w:t>
      </w:r>
    </w:p>
    <w:p w14:paraId="25F4432C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2" w:name="do|ar1|pa1"/>
      <w:bookmarkEnd w:id="2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Prezentul regulament reglementează modul de constituire,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componenţa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atribuţiile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procedura de lucru ale comisiilor de evaluare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inventariere a bunurilor primite cu titlu gratuit cu prilejul unor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acţiuni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protocol în exercitarea mandatului sau a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funcţiei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.</w:t>
      </w:r>
    </w:p>
    <w:p w14:paraId="26C1C2C2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3" w:name="do|ar2"/>
      <w:r w:rsidRPr="00367F14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5E2169A1" wp14:editId="42DE2685">
            <wp:extent cx="95250" cy="95250"/>
            <wp:effectExtent l="0" t="0" r="0" b="0"/>
            <wp:docPr id="38" name="do|ar2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Pr="00367F14">
        <w:rPr>
          <w:rFonts w:ascii="Verdana" w:eastAsia="Times New Roman" w:hAnsi="Verdana" w:cs="Times New Roman"/>
          <w:b/>
          <w:bCs/>
          <w:color w:val="0000AF"/>
          <w:kern w:val="0"/>
          <w:lang w:eastAsia="ro-RO"/>
          <w14:ligatures w14:val="none"/>
        </w:rPr>
        <w:t>Art. 2</w:t>
      </w:r>
    </w:p>
    <w:p w14:paraId="725942CC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4" w:name="do|ar2|pa1"/>
      <w:bookmarkEnd w:id="4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În cadrul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autorităţilor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instituţiilor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publice sau al persoanelor juridice în care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funcţionează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personalul nominalizat la art. 1 din Legea nr. </w:t>
      </w:r>
      <w:hyperlink r:id="rId7" w:history="1">
        <w:r w:rsidRPr="00367F14">
          <w:rPr>
            <w:rFonts w:ascii="Verdana" w:eastAsia="Times New Roman" w:hAnsi="Verdana" w:cs="Times New Roman"/>
            <w:b/>
            <w:bCs/>
            <w:color w:val="333399"/>
            <w:kern w:val="0"/>
            <w:u w:val="single"/>
            <w:lang w:eastAsia="ro-RO"/>
            <w14:ligatures w14:val="none"/>
          </w:rPr>
          <w:t>251/2004</w:t>
        </w:r>
      </w:hyperlink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privind unele măsuri referitoare la bunurile primite cu titlu gratuit cu prilejul unor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acţiuni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protocol în exercitarea mandatului sau a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funcţiei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denumită în continuare lege, se constituie, prin act administrativ al conducătorului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unităţii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Comisia de evaluare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inventariere a bunurilor primite cu titlu gratuit cu prilejul unor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acţiuni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protocol în exercitarea mandatului sau a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funcţiei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publice, denumită în continuare comisie.</w:t>
      </w:r>
    </w:p>
    <w:p w14:paraId="65648065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5" w:name="do|ar3"/>
      <w:r w:rsidRPr="00367F14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5F789EC5" wp14:editId="316FDF55">
            <wp:extent cx="95250" cy="95250"/>
            <wp:effectExtent l="0" t="0" r="0" b="0"/>
            <wp:docPr id="39" name="do|ar3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367F14">
        <w:rPr>
          <w:rFonts w:ascii="Verdana" w:eastAsia="Times New Roman" w:hAnsi="Verdana" w:cs="Times New Roman"/>
          <w:b/>
          <w:bCs/>
          <w:color w:val="0000AF"/>
          <w:kern w:val="0"/>
          <w:lang w:eastAsia="ro-RO"/>
          <w14:ligatures w14:val="none"/>
        </w:rPr>
        <w:t>Art. 3</w:t>
      </w:r>
    </w:p>
    <w:p w14:paraId="5B9E9F4C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6" w:name="do|ar3|pa1"/>
      <w:bookmarkEnd w:id="6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Comisia este compusă din 3 membri, din care unul are calitatea de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preşedinte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.</w:t>
      </w:r>
    </w:p>
    <w:p w14:paraId="6F520311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7" w:name="do|ar4"/>
      <w:r w:rsidRPr="00367F14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2BD78BB5" wp14:editId="071771B4">
            <wp:extent cx="95250" cy="95250"/>
            <wp:effectExtent l="0" t="0" r="0" b="0"/>
            <wp:docPr id="40" name="do|ar4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Pr="00367F14">
        <w:rPr>
          <w:rFonts w:ascii="Verdana" w:eastAsia="Times New Roman" w:hAnsi="Verdana" w:cs="Times New Roman"/>
          <w:b/>
          <w:bCs/>
          <w:color w:val="0000AF"/>
          <w:kern w:val="0"/>
          <w:lang w:eastAsia="ro-RO"/>
          <w14:ligatures w14:val="none"/>
        </w:rPr>
        <w:t>Art. 4</w:t>
      </w:r>
    </w:p>
    <w:p w14:paraId="384CA8EC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8" w:name="do|ar4|al1"/>
      <w:bookmarkEnd w:id="8"/>
      <w:r w:rsidRPr="00367F14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(1)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Mandatul membrilor comisiei este de 3 ani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poate fi reînnoit o singură dată.</w:t>
      </w:r>
    </w:p>
    <w:p w14:paraId="6FF9486A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9" w:name="do|ar4|al2"/>
      <w:bookmarkEnd w:id="9"/>
      <w:r w:rsidRPr="00367F14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(2)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Cu 30 de zile înainte de expirarea mandatului membrilor comisiei se vor lua măsuri pentru constituirea noii comisii, în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condiţiile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prezentului regulament.</w:t>
      </w:r>
    </w:p>
    <w:p w14:paraId="495BECD0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0" w:name="do|ar5"/>
      <w:r w:rsidRPr="00367F14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2971BCCA" wp14:editId="0B646648">
            <wp:extent cx="95250" cy="95250"/>
            <wp:effectExtent l="0" t="0" r="0" b="0"/>
            <wp:docPr id="41" name="do|ar5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367F14">
        <w:rPr>
          <w:rFonts w:ascii="Verdana" w:eastAsia="Times New Roman" w:hAnsi="Verdana" w:cs="Times New Roman"/>
          <w:b/>
          <w:bCs/>
          <w:color w:val="0000AF"/>
          <w:kern w:val="0"/>
          <w:lang w:eastAsia="ro-RO"/>
          <w14:ligatures w14:val="none"/>
        </w:rPr>
        <w:t>Art. 5</w:t>
      </w:r>
    </w:p>
    <w:p w14:paraId="6698CD63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1" w:name="do|ar5|pa1"/>
      <w:bookmarkEnd w:id="11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Pentru activitatea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desfăşurată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în cadrul comisiei, membrii acesteia nu sunt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retribuiţi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, activitatea reprezentând sarcină de serviciu.</w:t>
      </w:r>
    </w:p>
    <w:p w14:paraId="0F0C4967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2" w:name="do|ar6"/>
      <w:r w:rsidRPr="00367F14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25B483EB" wp14:editId="193584D9">
            <wp:extent cx="95250" cy="95250"/>
            <wp:effectExtent l="0" t="0" r="0" b="0"/>
            <wp:docPr id="42" name="do|ar6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  <w:r w:rsidRPr="00367F14">
        <w:rPr>
          <w:rFonts w:ascii="Verdana" w:eastAsia="Times New Roman" w:hAnsi="Verdana" w:cs="Times New Roman"/>
          <w:b/>
          <w:bCs/>
          <w:color w:val="0000AF"/>
          <w:kern w:val="0"/>
          <w:lang w:eastAsia="ro-RO"/>
          <w14:ligatures w14:val="none"/>
        </w:rPr>
        <w:t>Art. 6</w:t>
      </w:r>
    </w:p>
    <w:p w14:paraId="6568A040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3" w:name="do|ar6|pa1"/>
      <w:bookmarkEnd w:id="13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Mandatul membrilor comisiei se suspendă de drept în următoarele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situaţii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:</w:t>
      </w:r>
    </w:p>
    <w:p w14:paraId="79D89B0D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4" w:name="do|ar6|lia"/>
      <w:bookmarkEnd w:id="14"/>
      <w:r w:rsidRPr="00367F14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a)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în cazul delegării sau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detaşării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în cadrul altei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autorităţi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ori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instituţii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publice sau persoane juridice;</w:t>
      </w:r>
    </w:p>
    <w:p w14:paraId="05C13FD5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5" w:name="do|ar6|lib"/>
      <w:bookmarkEnd w:id="15"/>
      <w:r w:rsidRPr="00367F14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b)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în cazul suspendării din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funcţia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care a determinat numirea ca membru al comisiei.</w:t>
      </w:r>
    </w:p>
    <w:p w14:paraId="61BA7677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6" w:name="do|ar7"/>
      <w:r w:rsidRPr="00367F14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35362E55" wp14:editId="7A9C40E0">
            <wp:extent cx="95250" cy="95250"/>
            <wp:effectExtent l="0" t="0" r="0" b="0"/>
            <wp:docPr id="43" name="do|ar7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  <w:r w:rsidRPr="00367F14">
        <w:rPr>
          <w:rFonts w:ascii="Verdana" w:eastAsia="Times New Roman" w:hAnsi="Verdana" w:cs="Times New Roman"/>
          <w:b/>
          <w:bCs/>
          <w:color w:val="0000AF"/>
          <w:kern w:val="0"/>
          <w:lang w:eastAsia="ro-RO"/>
          <w14:ligatures w14:val="none"/>
        </w:rPr>
        <w:t>Art. 7</w:t>
      </w:r>
    </w:p>
    <w:p w14:paraId="495F93E3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7" w:name="do|ar7|al1"/>
      <w:r w:rsidRPr="00367F14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5771D4F3" wp14:editId="4503469E">
            <wp:extent cx="95250" cy="95250"/>
            <wp:effectExtent l="0" t="0" r="0" b="0"/>
            <wp:docPr id="44" name="do|ar7|al1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al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  <w:r w:rsidRPr="00367F14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(1)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Mandatul membrilor comisiei încetează înainte de termen în următoarele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situaţii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:</w:t>
      </w:r>
    </w:p>
    <w:p w14:paraId="72B95171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8" w:name="do|ar7|al1|lia"/>
      <w:bookmarkEnd w:id="18"/>
      <w:r w:rsidRPr="00367F14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a)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renunţarea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la calitatea de membru;</w:t>
      </w:r>
    </w:p>
    <w:p w14:paraId="4A763E0F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9" w:name="do|ar7|al1|lib"/>
      <w:bookmarkEnd w:id="19"/>
      <w:r w:rsidRPr="00367F14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b)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suspendarea din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funcţie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pe o perioadă mai mare de 30 de zile;</w:t>
      </w:r>
    </w:p>
    <w:p w14:paraId="35378F68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20" w:name="do|ar7|al1|lic"/>
      <w:bookmarkEnd w:id="20"/>
      <w:r w:rsidRPr="00367F14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c)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transferarea în cadrul altei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autorităţi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sau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instituţii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publice;</w:t>
      </w:r>
    </w:p>
    <w:p w14:paraId="2F8546F9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21" w:name="do|ar7|al1|lid"/>
      <w:bookmarkEnd w:id="21"/>
      <w:r w:rsidRPr="00367F14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d)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încetarea raportului de serviciu;</w:t>
      </w:r>
    </w:p>
    <w:p w14:paraId="27008F28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22" w:name="do|ar7|al1|lie"/>
      <w:bookmarkEnd w:id="22"/>
      <w:r w:rsidRPr="00367F14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e)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aplicarea unei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sancţiuni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disciplinare.</w:t>
      </w:r>
    </w:p>
    <w:p w14:paraId="5B80BD0F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23" w:name="do|ar7|al2"/>
      <w:bookmarkEnd w:id="23"/>
      <w:r w:rsidRPr="00367F14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(2)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Cererea de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renunţare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la calitatea de membru în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condiţiile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alin. (1) lit. a) se înaintează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preşedintelui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comisiei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produce efecte la 5 zile de la înregistrare. În cazul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preşedintelui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cererea se înaintează conducătorului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unităţii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.</w:t>
      </w:r>
    </w:p>
    <w:p w14:paraId="74E1C5E2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24" w:name="do|ar7|al3"/>
      <w:bookmarkEnd w:id="24"/>
      <w:r w:rsidRPr="00367F14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(3)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Încetarea mandatului de membru al comisiei în celelalte cazuri prevăzute de alin. (1) se constată printr-un raport al acesteia care se aduce la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cunoştinţă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conducătorului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unităţii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.</w:t>
      </w:r>
    </w:p>
    <w:p w14:paraId="14715C5A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25" w:name="do|ar8"/>
      <w:r w:rsidRPr="00367F14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29B8FB29" wp14:editId="38880C9E">
            <wp:extent cx="95250" cy="95250"/>
            <wp:effectExtent l="0" t="0" r="0" b="0"/>
            <wp:docPr id="45" name="do|ar8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8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5"/>
      <w:r w:rsidRPr="00367F14">
        <w:rPr>
          <w:rFonts w:ascii="Verdana" w:eastAsia="Times New Roman" w:hAnsi="Verdana" w:cs="Times New Roman"/>
          <w:b/>
          <w:bCs/>
          <w:color w:val="0000AF"/>
          <w:kern w:val="0"/>
          <w:lang w:eastAsia="ro-RO"/>
          <w14:ligatures w14:val="none"/>
        </w:rPr>
        <w:t>Art. 8</w:t>
      </w:r>
    </w:p>
    <w:p w14:paraId="5BF095E0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26" w:name="do|ar8|pa1"/>
      <w:bookmarkEnd w:id="26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În cazurile prevăzute la art. 7 se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numeşte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un nou membru al cărui mandat durează până la expirarea mandatului celui în locul căruia a fost numit.</w:t>
      </w:r>
    </w:p>
    <w:p w14:paraId="37B2A085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27" w:name="do|ar9"/>
      <w:r w:rsidRPr="00367F14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5658D021" wp14:editId="28356DD0">
            <wp:extent cx="95250" cy="95250"/>
            <wp:effectExtent l="0" t="0" r="0" b="0"/>
            <wp:docPr id="46" name="do|ar9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"/>
      <w:r w:rsidRPr="00367F14">
        <w:rPr>
          <w:rFonts w:ascii="Verdana" w:eastAsia="Times New Roman" w:hAnsi="Verdana" w:cs="Times New Roman"/>
          <w:b/>
          <w:bCs/>
          <w:color w:val="0000AF"/>
          <w:kern w:val="0"/>
          <w:lang w:eastAsia="ro-RO"/>
          <w14:ligatures w14:val="none"/>
        </w:rPr>
        <w:t>Art. 9</w:t>
      </w:r>
    </w:p>
    <w:p w14:paraId="5AC4E89B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28" w:name="do|ar9|al1"/>
      <w:bookmarkEnd w:id="28"/>
      <w:r w:rsidRPr="00367F14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lastRenderedPageBreak/>
        <w:t>(1)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Persoanele care au calitatea prevăzută de art. 1 alin. (1) din lege au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obligaţia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a declara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a prezenta conducătorului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instituţiei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în termen de 30 de zile de la primire, bunurile primite cu titlu gratuit în cadrul unor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activităţi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protocol în exercitarea mandatului sau a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funcţiei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cu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excepţiile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prevăzute de lege.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Declaraţia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împreună cu bunul/bunurile primite se înaintează de îndată comisiei.</w:t>
      </w:r>
    </w:p>
    <w:p w14:paraId="4F1C576D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29" w:name="do|ar9|al2"/>
      <w:r w:rsidRPr="00367F14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24C286A7" wp14:editId="55B47016">
            <wp:extent cx="95250" cy="95250"/>
            <wp:effectExtent l="0" t="0" r="0" b="0"/>
            <wp:docPr id="47" name="do|ar9|al2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al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9"/>
      <w:r w:rsidRPr="00367F14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(2)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Declaraţia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trebuie să cuprindă:</w:t>
      </w:r>
    </w:p>
    <w:p w14:paraId="0D52D7A1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30" w:name="do|ar9|al2|lia"/>
      <w:bookmarkEnd w:id="30"/>
      <w:r w:rsidRPr="00367F14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a)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numele, prenumele, locul de muncă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funcţia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deţinută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persoana în cauză;</w:t>
      </w:r>
    </w:p>
    <w:p w14:paraId="3E26E599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31" w:name="do|ar9|al2|lib"/>
      <w:bookmarkEnd w:id="31"/>
      <w:r w:rsidRPr="00367F14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b)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descrierea în detaliu a bunului predat;</w:t>
      </w:r>
    </w:p>
    <w:p w14:paraId="7542FB91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32" w:name="do|ar9|al2|lic"/>
      <w:bookmarkEnd w:id="32"/>
      <w:r w:rsidRPr="00367F14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c)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descrierea împrejurărilor în care a primit bunul;</w:t>
      </w:r>
    </w:p>
    <w:p w14:paraId="25B9D37A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33" w:name="do|ar9|al2|lid"/>
      <w:bookmarkEnd w:id="33"/>
      <w:r w:rsidRPr="00367F14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d)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data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semnătura.</w:t>
      </w:r>
    </w:p>
    <w:p w14:paraId="64F2B514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34" w:name="do|ar9|al3"/>
      <w:bookmarkEnd w:id="34"/>
      <w:r w:rsidRPr="00367F14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(3)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Declaraţia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se formulează în scris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este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însoţită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bunul/bunurile ce vor fi predate.</w:t>
      </w:r>
    </w:p>
    <w:p w14:paraId="4E199E3A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35" w:name="do|ar10"/>
      <w:r w:rsidRPr="00367F14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063CD769" wp14:editId="67207B55">
            <wp:extent cx="95250" cy="95250"/>
            <wp:effectExtent l="0" t="0" r="0" b="0"/>
            <wp:docPr id="48" name="do|ar10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0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  <w:r w:rsidRPr="00367F14">
        <w:rPr>
          <w:rFonts w:ascii="Verdana" w:eastAsia="Times New Roman" w:hAnsi="Verdana" w:cs="Times New Roman"/>
          <w:b/>
          <w:bCs/>
          <w:color w:val="0000AF"/>
          <w:kern w:val="0"/>
          <w:lang w:eastAsia="ro-RO"/>
          <w14:ligatures w14:val="none"/>
        </w:rPr>
        <w:t>Art. 10</w:t>
      </w:r>
    </w:p>
    <w:p w14:paraId="47D7E85E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36" w:name="do|ar10|pa1"/>
      <w:bookmarkEnd w:id="36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Bunurile depuse la comisie se evaluează de îndată, avându-se în vedere, de regulă,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preţul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pieţei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. Pentru evaluare se pot consulta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experţi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în domeniu,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selectaţi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în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condiţiile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legii.</w:t>
      </w:r>
    </w:p>
    <w:p w14:paraId="40FA3B0F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37" w:name="do|ar11"/>
      <w:r w:rsidRPr="00367F14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642861D0" wp14:editId="7C3D6504">
            <wp:extent cx="95250" cy="95250"/>
            <wp:effectExtent l="0" t="0" r="0" b="0"/>
            <wp:docPr id="49" name="do|ar11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"/>
      <w:r w:rsidRPr="00367F14">
        <w:rPr>
          <w:rFonts w:ascii="Verdana" w:eastAsia="Times New Roman" w:hAnsi="Verdana" w:cs="Times New Roman"/>
          <w:b/>
          <w:bCs/>
          <w:color w:val="0000AF"/>
          <w:kern w:val="0"/>
          <w:lang w:eastAsia="ro-RO"/>
          <w14:ligatures w14:val="none"/>
        </w:rPr>
        <w:t>Art. 11</w:t>
      </w:r>
    </w:p>
    <w:p w14:paraId="5AB89147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38" w:name="do|ar11|al1"/>
      <w:r w:rsidRPr="00367F14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5A593F57" wp14:editId="2CDFD43C">
            <wp:extent cx="95250" cy="95250"/>
            <wp:effectExtent l="0" t="0" r="0" b="0"/>
            <wp:docPr id="50" name="do|ar11|al1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1|al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8"/>
      <w:r w:rsidRPr="00367F14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(1)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Comisia are următoarele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atribuţii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principale:</w:t>
      </w:r>
    </w:p>
    <w:p w14:paraId="75AA4108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39" w:name="do|ar11|al1|lia"/>
      <w:bookmarkEnd w:id="39"/>
      <w:r w:rsidRPr="00367F14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a)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înregistrează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ţine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evidenţa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statistică, cantitativă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valorică a bunurilor primite cu titlu gratuit cu prilejul unor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acţiuni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protocol în exercitarea mandatului sau a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funcţiei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;</w:t>
      </w:r>
    </w:p>
    <w:p w14:paraId="1F8DD3DB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40" w:name="do|ar11|al1|lib"/>
      <w:bookmarkEnd w:id="40"/>
      <w:r w:rsidRPr="00367F14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b)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evaluează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inventariază bunurile;</w:t>
      </w:r>
    </w:p>
    <w:p w14:paraId="1F054D74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41" w:name="do|ar11|al1|lic"/>
      <w:bookmarkEnd w:id="41"/>
      <w:r w:rsidRPr="00367F14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c)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restituie primitorului bunurile a căror valoare este sub 200 euro;</w:t>
      </w:r>
    </w:p>
    <w:p w14:paraId="29792D44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42" w:name="do|ar11|al1|lid"/>
      <w:bookmarkEnd w:id="42"/>
      <w:r w:rsidRPr="00367F14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d)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aprobă păstrarea de către primitor a bunurilor cu o valoare mai mare de 200 euro, cu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condiţia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achitării de către acesta a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diferenţei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preţ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;</w:t>
      </w:r>
    </w:p>
    <w:p w14:paraId="28CA402E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43" w:name="do|ar11|al1|lie"/>
      <w:bookmarkEnd w:id="43"/>
      <w:r w:rsidRPr="00367F14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e)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propune, după caz, păstrarea bunurilor în patrimoniul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unităţii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transmiterea cu titlu gratuit a bunurilor rămase în patrimoniul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unităţii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către o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instituţie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publică de profil sau vânzarea prin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licitaţie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a acestor bunuri;</w:t>
      </w:r>
    </w:p>
    <w:p w14:paraId="720CDA35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44" w:name="do|ar11|al1|lif"/>
      <w:bookmarkEnd w:id="44"/>
      <w:r w:rsidRPr="00367F14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f)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ia măsuri pentru publicarea listei cuprinzând bunurile depuse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destinaţia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acestora, în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condiţiile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legii;</w:t>
      </w:r>
    </w:p>
    <w:p w14:paraId="721C179D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45" w:name="do|ar11|al1|lig"/>
      <w:bookmarkEnd w:id="45"/>
      <w:r w:rsidRPr="00367F14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g)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asigură, prin grija compartimentelor de specialitate, păstrarea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securitatea bunurilor.</w:t>
      </w:r>
    </w:p>
    <w:p w14:paraId="3AC2E5AF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46" w:name="do|ar11|al2"/>
      <w:bookmarkEnd w:id="46"/>
      <w:r w:rsidRPr="00367F14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(2)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Atribuţiile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prevăzute la alin. (1) lit. e) se exercită după inventarierea bunurilor, care se efectuează până la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sfârşitul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fiecărui an calendaristic. Vânzarea bunurilor prin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licitaţie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se face în conformitate cu prevederile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Ordonanţei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Guvernului nr. </w:t>
      </w:r>
      <w:hyperlink r:id="rId8" w:history="1">
        <w:r w:rsidRPr="00367F14">
          <w:rPr>
            <w:rFonts w:ascii="Verdana" w:eastAsia="Times New Roman" w:hAnsi="Verdana" w:cs="Times New Roman"/>
            <w:b/>
            <w:bCs/>
            <w:color w:val="333399"/>
            <w:kern w:val="0"/>
            <w:u w:val="single"/>
            <w:lang w:eastAsia="ro-RO"/>
            <w14:ligatures w14:val="none"/>
          </w:rPr>
          <w:t>128/1998</w:t>
        </w:r>
      </w:hyperlink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pentru reglementarea modului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condiţiilor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valorificare a bunurilor confiscate sau intrate, potrivit legii, în proprietatea privată a statului, aprobată cu modificări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completări prin Legea nr. </w:t>
      </w:r>
      <w:hyperlink r:id="rId9" w:history="1">
        <w:r w:rsidRPr="00367F14">
          <w:rPr>
            <w:rFonts w:ascii="Verdana" w:eastAsia="Times New Roman" w:hAnsi="Verdana" w:cs="Times New Roman"/>
            <w:b/>
            <w:bCs/>
            <w:color w:val="333399"/>
            <w:kern w:val="0"/>
            <w:u w:val="single"/>
            <w:lang w:eastAsia="ro-RO"/>
            <w14:ligatures w14:val="none"/>
          </w:rPr>
          <w:t>98/1999</w:t>
        </w:r>
      </w:hyperlink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cu modificările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completările ulterioare, precum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a normelor metodologice de aplicare a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Ordonanţei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Guvernului nr. </w:t>
      </w:r>
      <w:hyperlink r:id="rId10" w:history="1">
        <w:r w:rsidRPr="00367F14">
          <w:rPr>
            <w:rFonts w:ascii="Verdana" w:eastAsia="Times New Roman" w:hAnsi="Verdana" w:cs="Times New Roman"/>
            <w:b/>
            <w:bCs/>
            <w:color w:val="333399"/>
            <w:kern w:val="0"/>
            <w:u w:val="single"/>
            <w:lang w:eastAsia="ro-RO"/>
            <w14:ligatures w14:val="none"/>
          </w:rPr>
          <w:t>128/1998</w:t>
        </w:r>
      </w:hyperlink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aprobate prin Hotărârea Guvernului nr. </w:t>
      </w:r>
      <w:hyperlink r:id="rId11" w:history="1">
        <w:r w:rsidRPr="00367F14">
          <w:rPr>
            <w:rFonts w:ascii="Verdana" w:eastAsia="Times New Roman" w:hAnsi="Verdana" w:cs="Times New Roman"/>
            <w:b/>
            <w:bCs/>
            <w:color w:val="333399"/>
            <w:kern w:val="0"/>
            <w:u w:val="single"/>
            <w:lang w:eastAsia="ro-RO"/>
            <w14:ligatures w14:val="none"/>
          </w:rPr>
          <w:t>514/1999</w:t>
        </w:r>
      </w:hyperlink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cu modificările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completările ulterioare.</w:t>
      </w:r>
    </w:p>
    <w:p w14:paraId="61F249F5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47" w:name="do|ar12"/>
      <w:r w:rsidRPr="00367F14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21DDBD4B" wp14:editId="52B3A243">
            <wp:extent cx="95250" cy="95250"/>
            <wp:effectExtent l="0" t="0" r="0" b="0"/>
            <wp:docPr id="51" name="do|ar12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7"/>
      <w:r w:rsidRPr="00367F14">
        <w:rPr>
          <w:rFonts w:ascii="Verdana" w:eastAsia="Times New Roman" w:hAnsi="Verdana" w:cs="Times New Roman"/>
          <w:b/>
          <w:bCs/>
          <w:color w:val="0000AF"/>
          <w:kern w:val="0"/>
          <w:lang w:eastAsia="ro-RO"/>
          <w14:ligatures w14:val="none"/>
        </w:rPr>
        <w:t>Art. 12</w:t>
      </w:r>
    </w:p>
    <w:p w14:paraId="270C1E9D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48" w:name="do|ar12|al1"/>
      <w:bookmarkEnd w:id="48"/>
      <w:r w:rsidRPr="00367F14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(1)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Veniturile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obţinute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din valorificarea acestor bunuri se varsă, după caz, la bugetul de stat, bugetele locale sau la bugetele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autorităţilor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instituţiilor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publice ori persoanelor juridice, potrivit modului de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finanţare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a acestora.</w:t>
      </w:r>
    </w:p>
    <w:p w14:paraId="16FF2203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49" w:name="do|ar12|al2"/>
      <w:bookmarkEnd w:id="49"/>
      <w:r w:rsidRPr="00367F14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(2)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Regimul prevăzut la alin. (1) se aplică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în cazul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diferenţei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valoare plătite de primitorul bunului în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condiţiile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art. 11 alin. (1) lit. d).</w:t>
      </w:r>
    </w:p>
    <w:p w14:paraId="54C890AD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50" w:name="do|ar12|al3"/>
      <w:bookmarkEnd w:id="50"/>
      <w:r w:rsidRPr="00367F14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(3)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Plata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diferenţei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se face într-un cont deschis la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unităţile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Trezoreriei Statului, stabilit prin ordin al ministrului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finanţelor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publice.</w:t>
      </w:r>
    </w:p>
    <w:p w14:paraId="2D63108B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51" w:name="do|ar13"/>
      <w:r w:rsidRPr="00367F14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5064D123" wp14:editId="46B7FBAA">
            <wp:extent cx="95250" cy="95250"/>
            <wp:effectExtent l="0" t="0" r="0" b="0"/>
            <wp:docPr id="52" name="do|ar13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3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1"/>
      <w:r w:rsidRPr="00367F14">
        <w:rPr>
          <w:rFonts w:ascii="Verdana" w:eastAsia="Times New Roman" w:hAnsi="Verdana" w:cs="Times New Roman"/>
          <w:b/>
          <w:bCs/>
          <w:color w:val="0000AF"/>
          <w:kern w:val="0"/>
          <w:lang w:eastAsia="ro-RO"/>
          <w14:ligatures w14:val="none"/>
        </w:rPr>
        <w:t>Art. 13</w:t>
      </w:r>
    </w:p>
    <w:p w14:paraId="4C7E7A37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52" w:name="do|ar13|al1"/>
      <w:bookmarkEnd w:id="52"/>
      <w:r w:rsidRPr="00367F14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lastRenderedPageBreak/>
        <w:t>(1)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Bunul/bunurile nerestituit/nerestituite trec în proprietatea privată a statului sau a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unităţilor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administrativ-teritoriale ca urmare a aprobării de către conducătorul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unităţii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a propunerii înaintate de comisie.</w:t>
      </w:r>
    </w:p>
    <w:p w14:paraId="2B236207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53" w:name="do|ar13|al2"/>
      <w:bookmarkEnd w:id="53"/>
      <w:r w:rsidRPr="00367F14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(2)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Transmiterea cu titlu gratuit se face de către unitatea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deţinătoare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la propunerea comisiei, după consultarea în prealabil a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instituţiei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profil căreia urmează a i se transmite bunul, în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funcţie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natura lui.</w:t>
      </w:r>
    </w:p>
    <w:p w14:paraId="07747C6A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54" w:name="do|ar13|al3"/>
      <w:bookmarkEnd w:id="54"/>
      <w:r w:rsidRPr="00367F14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(3)</w:t>
      </w:r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Prin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instituţie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publică de profil se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înţelege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orice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instituţie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care, potrivit specificului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activităţii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poate folosi bunul conform naturii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</w:t>
      </w:r>
      <w:proofErr w:type="spellStart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destinaţiei</w:t>
      </w:r>
      <w:proofErr w:type="spellEnd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acestuia.</w:t>
      </w:r>
    </w:p>
    <w:p w14:paraId="1AD5A821" w14:textId="77777777" w:rsidR="00367F14" w:rsidRPr="00367F14" w:rsidRDefault="00367F14" w:rsidP="00367F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55" w:name="do|pa1"/>
      <w:bookmarkEnd w:id="55"/>
      <w:r w:rsidRPr="00367F14">
        <w:rPr>
          <w:rFonts w:ascii="Verdana" w:eastAsia="Times New Roman" w:hAnsi="Verdana" w:cs="Times New Roman"/>
          <w:kern w:val="0"/>
          <w:lang w:eastAsia="ro-RO"/>
          <w14:ligatures w14:val="none"/>
        </w:rPr>
        <w:t>Publicat în Monitorul Oficial cu numărul 680 din data de 28 iulie 2004</w:t>
      </w:r>
    </w:p>
    <w:p w14:paraId="6BC427BA" w14:textId="77777777" w:rsidR="002130F5" w:rsidRDefault="002130F5"/>
    <w:sectPr w:rsidR="0021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14"/>
    <w:rsid w:val="002130F5"/>
    <w:rsid w:val="00367F14"/>
    <w:rsid w:val="005D61ED"/>
    <w:rsid w:val="00D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B6F5"/>
  <w15:chartTrackingRefBased/>
  <w15:docId w15:val="{0BD14B2E-E4D5-4DD3-864E-398C8D25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9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193108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39559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102047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082412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402210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294258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225387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695769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544886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455701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631050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00166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368548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67792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364131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251514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104251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176383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114803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35942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92123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210815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850447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16010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438791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18285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622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88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076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43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872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700535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45307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90484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931753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698295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537676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784140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528032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28544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71513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010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95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28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95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523980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02045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527594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934380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430657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408361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028087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93374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23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935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121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32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051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468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05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324008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895053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784125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640210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65821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9094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599287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625941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899140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04190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91668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203806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70436\00024964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sintact%204.0\cache\Legislatie\temp70436\00074883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70436\00074883.htm" TargetMode="External"/><Relationship Id="rId11" Type="http://schemas.openxmlformats.org/officeDocument/2006/relationships/hyperlink" Target="file:///C:\Users\user\sintact%204.0\cache\Legislatie\temp70436\00030603.htm" TargetMode="External"/><Relationship Id="rId5" Type="http://schemas.openxmlformats.org/officeDocument/2006/relationships/image" Target="media/image1.gif"/><Relationship Id="rId10" Type="http://schemas.openxmlformats.org/officeDocument/2006/relationships/hyperlink" Target="file:///C:\Users\user\sintact%204.0\cache\Legislatie\temp70436\00024964.htm" TargetMode="External"/><Relationship Id="rId4" Type="http://schemas.openxmlformats.org/officeDocument/2006/relationships/hyperlink" Target="file:///C:\Users\user\sintact%204.0\cache\Legislatie\temp70436\00075851.HTM" TargetMode="External"/><Relationship Id="rId9" Type="http://schemas.openxmlformats.org/officeDocument/2006/relationships/hyperlink" Target="file:///C:\Users\user\sintact%204.0\cache\Legislatie\temp70436\00030171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1041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Ionita</dc:creator>
  <cp:keywords/>
  <dc:description/>
  <cp:lastModifiedBy>Luminita Ionita</cp:lastModifiedBy>
  <cp:revision>1</cp:revision>
  <dcterms:created xsi:type="dcterms:W3CDTF">2023-04-19T11:33:00Z</dcterms:created>
  <dcterms:modified xsi:type="dcterms:W3CDTF">2023-04-19T11:36:00Z</dcterms:modified>
</cp:coreProperties>
</file>